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7D" w:rsidRDefault="00CB5C7D" w:rsidP="00CB5C7D">
      <w:pPr>
        <w:pStyle w:val="Stile"/>
        <w:spacing w:line="230" w:lineRule="exact"/>
        <w:ind w:left="9"/>
        <w:jc w:val="both"/>
        <w:rPr>
          <w:sz w:val="21"/>
          <w:szCs w:val="21"/>
        </w:rPr>
      </w:pPr>
    </w:p>
    <w:p w:rsidR="00CB5C7D" w:rsidRDefault="00CB5C7D" w:rsidP="00CB5C7D">
      <w:pPr>
        <w:pStyle w:val="Stile"/>
        <w:spacing w:line="230" w:lineRule="exact"/>
        <w:ind w:left="9"/>
        <w:jc w:val="both"/>
        <w:rPr>
          <w:sz w:val="21"/>
          <w:szCs w:val="21"/>
        </w:rPr>
      </w:pPr>
    </w:p>
    <w:p w:rsidR="00CB5C7D" w:rsidRPr="00CB5C7D" w:rsidRDefault="00CB5C7D" w:rsidP="00CB5C7D">
      <w:pPr>
        <w:pStyle w:val="Stile"/>
        <w:spacing w:line="230" w:lineRule="exact"/>
        <w:ind w:left="9"/>
        <w:jc w:val="center"/>
        <w:rPr>
          <w:b/>
          <w:sz w:val="21"/>
          <w:szCs w:val="21"/>
        </w:rPr>
      </w:pPr>
      <w:r w:rsidRPr="00CB5C7D">
        <w:rPr>
          <w:b/>
          <w:sz w:val="21"/>
          <w:szCs w:val="21"/>
        </w:rPr>
        <w:t>NOTE  ESPLICATIVE DELLA  SCHEDA PER  PUNTEGGIO</w:t>
      </w:r>
    </w:p>
    <w:p w:rsidR="00CB5C7D" w:rsidRPr="00CB5C7D" w:rsidRDefault="00CB5C7D" w:rsidP="00CB5C7D">
      <w:pPr>
        <w:pStyle w:val="Stile"/>
        <w:spacing w:line="230" w:lineRule="exact"/>
        <w:ind w:left="9"/>
        <w:jc w:val="center"/>
        <w:rPr>
          <w:b/>
          <w:sz w:val="21"/>
          <w:szCs w:val="21"/>
        </w:rPr>
      </w:pPr>
    </w:p>
    <w:p w:rsidR="00CB5C7D" w:rsidRPr="00CB5C7D" w:rsidRDefault="00CB5C7D" w:rsidP="00CB5C7D">
      <w:pPr>
        <w:pStyle w:val="Stile"/>
        <w:spacing w:line="230" w:lineRule="exact"/>
        <w:ind w:left="9"/>
        <w:jc w:val="center"/>
        <w:rPr>
          <w:b/>
          <w:sz w:val="21"/>
          <w:szCs w:val="21"/>
        </w:rPr>
      </w:pPr>
      <w:r w:rsidRPr="00CB5C7D">
        <w:rPr>
          <w:b/>
          <w:sz w:val="21"/>
          <w:szCs w:val="21"/>
        </w:rPr>
        <w:t>ALLEGATO N. 3</w:t>
      </w:r>
    </w:p>
    <w:p w:rsidR="00CB5C7D" w:rsidRPr="00CB5C7D" w:rsidRDefault="00CB5C7D" w:rsidP="00CB5C7D">
      <w:pPr>
        <w:pStyle w:val="Stile"/>
        <w:spacing w:line="230" w:lineRule="exact"/>
        <w:ind w:left="9"/>
        <w:jc w:val="both"/>
        <w:rPr>
          <w:b/>
          <w:sz w:val="21"/>
          <w:szCs w:val="21"/>
        </w:rPr>
      </w:pPr>
    </w:p>
    <w:p w:rsidR="00CB5C7D" w:rsidRPr="00CB5C7D" w:rsidRDefault="00CB5C7D" w:rsidP="00CB5C7D">
      <w:pPr>
        <w:pStyle w:val="Stile"/>
        <w:spacing w:line="230" w:lineRule="exact"/>
        <w:ind w:left="9"/>
        <w:jc w:val="both"/>
        <w:rPr>
          <w:b/>
          <w:sz w:val="21"/>
          <w:szCs w:val="21"/>
        </w:rPr>
      </w:pPr>
    </w:p>
    <w:p w:rsidR="00CB5C7D" w:rsidRDefault="00CB5C7D" w:rsidP="00CB5C7D">
      <w:pPr>
        <w:pStyle w:val="Stile"/>
        <w:spacing w:line="230" w:lineRule="exact"/>
        <w:ind w:left="9"/>
        <w:jc w:val="both"/>
        <w:rPr>
          <w:sz w:val="21"/>
          <w:szCs w:val="21"/>
        </w:rPr>
      </w:pPr>
    </w:p>
    <w:p w:rsidR="00CB5C7D" w:rsidRDefault="00CB5C7D" w:rsidP="00CB5C7D">
      <w:pPr>
        <w:pStyle w:val="Stile"/>
        <w:spacing w:line="230" w:lineRule="exact"/>
        <w:rPr>
          <w:sz w:val="21"/>
          <w:szCs w:val="21"/>
        </w:rPr>
      </w:pPr>
    </w:p>
    <w:p w:rsidR="00CB5C7D" w:rsidRDefault="00CB5C7D" w:rsidP="00CB5C7D">
      <w:pPr>
        <w:pStyle w:val="Stile"/>
        <w:spacing w:line="230" w:lineRule="exact"/>
        <w:ind w:left="9" w:right="-1"/>
        <w:jc w:val="both"/>
        <w:rPr>
          <w:sz w:val="18"/>
          <w:szCs w:val="18"/>
        </w:rPr>
      </w:pPr>
      <w:r>
        <w:rPr>
          <w:sz w:val="18"/>
          <w:szCs w:val="18"/>
        </w:rPr>
        <w:t>Ai fini dell'attribuzione del punteggio per le domande di trasferimento, per le doma</w:t>
      </w:r>
      <w:r>
        <w:rPr>
          <w:sz w:val="18"/>
          <w:szCs w:val="18"/>
        </w:rPr>
        <w:t>nde di passaggio di ruolo e per l</w:t>
      </w:r>
      <w:r>
        <w:rPr>
          <w:sz w:val="18"/>
          <w:szCs w:val="18"/>
        </w:rPr>
        <w:t xml:space="preserve">'individuazione del perdente posto si precisa quanto </w:t>
      </w:r>
      <w:r>
        <w:rPr>
          <w:sz w:val="18"/>
          <w:szCs w:val="18"/>
        </w:rPr>
        <w:t xml:space="preserve">segue:  </w:t>
      </w:r>
      <w:r>
        <w:rPr>
          <w:sz w:val="18"/>
          <w:szCs w:val="18"/>
        </w:rPr>
        <w:t xml:space="preserve">- nell'anzianità di servizio non si tiene conto dell'anno scolastico in corso; </w:t>
      </w:r>
      <w:r>
        <w:rPr>
          <w:sz w:val="18"/>
          <w:szCs w:val="18"/>
        </w:rPr>
        <w:t xml:space="preserve"> </w:t>
      </w:r>
      <w:r>
        <w:rPr>
          <w:sz w:val="18"/>
          <w:szCs w:val="18"/>
        </w:rPr>
        <w:t xml:space="preserve">- nella valutazione dei titoli vengono considerati quelli posseduti entro il termine previsto per la presentazione della domanda; </w:t>
      </w:r>
      <w:r>
        <w:rPr>
          <w:sz w:val="18"/>
          <w:szCs w:val="18"/>
        </w:rPr>
        <w:t xml:space="preserve"> </w:t>
      </w:r>
      <w:r>
        <w:rPr>
          <w:sz w:val="18"/>
          <w:szCs w:val="18"/>
        </w:rPr>
        <w:t xml:space="preserve">- nella valutazione delle esigenze di famiglia (per i trasferimento a domanda e d'ufficio) </w:t>
      </w:r>
      <w:r>
        <w:rPr>
          <w:w w:val="111"/>
          <w:sz w:val="18"/>
          <w:szCs w:val="18"/>
        </w:rPr>
        <w:t xml:space="preserve">è </w:t>
      </w:r>
      <w:r>
        <w:rPr>
          <w:sz w:val="18"/>
          <w:szCs w:val="18"/>
        </w:rPr>
        <w:t xml:space="preserve">necessario che queste sussistano alla </w:t>
      </w:r>
      <w:r>
        <w:rPr>
          <w:sz w:val="18"/>
          <w:szCs w:val="18"/>
        </w:rPr>
        <w:t xml:space="preserve"> </w:t>
      </w:r>
      <w:r>
        <w:rPr>
          <w:sz w:val="18"/>
          <w:szCs w:val="18"/>
        </w:rPr>
        <w:t xml:space="preserve">data della presentazione della domanda. Soltanto nel caso dei figli si considerano quelli che compiono i sei anni o i diciotto anni entro il 31 dicembre dell' anno in cui si effettua il trasferimento. </w:t>
      </w:r>
    </w:p>
    <w:p w:rsidR="00CB5C7D" w:rsidRDefault="00CB5C7D" w:rsidP="00CB5C7D">
      <w:pPr>
        <w:pStyle w:val="Stile"/>
        <w:tabs>
          <w:tab w:val="left" w:pos="9639"/>
        </w:tabs>
        <w:spacing w:line="230" w:lineRule="exact"/>
        <w:ind w:right="-1"/>
        <w:jc w:val="both"/>
        <w:rPr>
          <w:sz w:val="18"/>
          <w:szCs w:val="18"/>
        </w:rPr>
      </w:pPr>
      <w:r>
        <w:rPr>
          <w:sz w:val="18"/>
          <w:szCs w:val="18"/>
        </w:rPr>
        <w:t xml:space="preserve">L'anzianità di servizio di cui alle lettere A) e B) del punto I della tabella deve essere attestata dall'interessato, con apposita </w:t>
      </w:r>
      <w:r>
        <w:rPr>
          <w:sz w:val="18"/>
          <w:szCs w:val="18"/>
        </w:rPr>
        <w:t>d</w:t>
      </w:r>
      <w:r>
        <w:rPr>
          <w:sz w:val="18"/>
          <w:szCs w:val="18"/>
        </w:rPr>
        <w:t xml:space="preserve">ichiarazione personale conforme allo specifico modello allegato all'O.M. sulla mobilità del personale o a quello predisposto per le istanze on line ovvero con certificato di servizio. </w:t>
      </w:r>
    </w:p>
    <w:p w:rsidR="00CB5C7D" w:rsidRDefault="00CB5C7D" w:rsidP="00CB5C7D">
      <w:pPr>
        <w:pStyle w:val="Stile"/>
        <w:spacing w:line="235" w:lineRule="exact"/>
        <w:ind w:right="4"/>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w:t>
      </w:r>
    </w:p>
    <w:p w:rsidR="00CB5C7D" w:rsidRDefault="00CB5C7D" w:rsidP="00CB5C7D">
      <w:pPr>
        <w:pStyle w:val="Stile"/>
        <w:spacing w:line="235" w:lineRule="exact"/>
        <w:ind w:right="4"/>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 Autorità diplomatica italiana nello Stato estero, </w:t>
      </w:r>
      <w:r>
        <w:rPr>
          <w:w w:val="111"/>
          <w:sz w:val="18"/>
          <w:szCs w:val="18"/>
        </w:rPr>
        <w:t xml:space="preserve">è </w:t>
      </w:r>
      <w:r>
        <w:rPr>
          <w:sz w:val="18"/>
          <w:szCs w:val="18"/>
        </w:rPr>
        <w:t xml:space="preserve">costituita presso ciascun Ufficio scolastico regionale un'apposita commissione per la definizione della corrispondenza tra servizi. L'anzianità di cui alla lettera B) comprende anche il servizio non di ruolo prestato per almeno 180 giorni o ininterrottamente dal l febbraio fino al termine delle operazioni di scrutinio finale o, in quanto riconoscibile, per la scuola dell'infanzia, fino al termine delle attività educative, compreso quello militare o il sostitutivo servizio civile, nei limiti previsti dagli artt. 485, 487 e 490 del D.L. 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w:t>
      </w:r>
      <w:r>
        <w:rPr>
          <w:w w:val="111"/>
          <w:sz w:val="18"/>
          <w:szCs w:val="18"/>
        </w:rPr>
        <w:t xml:space="preserve">è </w:t>
      </w:r>
      <w:r>
        <w:rPr>
          <w:sz w:val="18"/>
          <w:szCs w:val="18"/>
        </w:rPr>
        <w:t xml:space="preserve">da valutare con lo stesso punteggio previsto per il servizio non di ruolo. Tale servizio, qualora abbia avuto una durata superiore a 180 gg interrompe la continuità. </w:t>
      </w:r>
    </w:p>
    <w:p w:rsidR="00CB5C7D" w:rsidRDefault="00CB5C7D" w:rsidP="00CB5C7D">
      <w:pPr>
        <w:pStyle w:val="Stile"/>
        <w:spacing w:line="235" w:lineRule="exact"/>
        <w:ind w:right="4"/>
        <w:jc w:val="both"/>
        <w:rPr>
          <w:sz w:val="18"/>
          <w:szCs w:val="18"/>
        </w:rPr>
      </w:pPr>
      <w:r>
        <w:rPr>
          <w:sz w:val="18"/>
          <w:szCs w:val="18"/>
        </w:rPr>
        <w:t xml:space="preserve">La valutazione del servizio pre-ruolo viene effettuata nella seguente maniera:- i primi 4 anni sono valutati per intero - il periodo eccedente i 4 anni </w:t>
      </w:r>
      <w:r>
        <w:rPr>
          <w:w w:val="111"/>
          <w:sz w:val="18"/>
          <w:szCs w:val="18"/>
        </w:rPr>
        <w:t xml:space="preserve">è </w:t>
      </w:r>
      <w:r>
        <w:rPr>
          <w:sz w:val="18"/>
          <w:szCs w:val="18"/>
        </w:rPr>
        <w:t xml:space="preserve">valutato per i 2/3 (due terzi)..Ad esempio, il docente che ha prestato 6 anni di servizio pre-ruolo, che viene riconosciuto o riconoscibile ai fini della progressione di carriera nella misura di 5 anni e 4 mesi, ha diritto, per tale servizio, all'attribuzione di punti 16 derivanti dal seguente calcolo: </w:t>
      </w:r>
    </w:p>
    <w:p w:rsidR="00CB5C7D" w:rsidRDefault="00CB5C7D" w:rsidP="00CB5C7D">
      <w:pPr>
        <w:pStyle w:val="Stile"/>
        <w:spacing w:line="235" w:lineRule="exact"/>
        <w:ind w:right="4"/>
        <w:jc w:val="both"/>
        <w:rPr>
          <w:sz w:val="18"/>
          <w:szCs w:val="18"/>
        </w:rPr>
      </w:pPr>
      <w:r>
        <w:rPr>
          <w:sz w:val="18"/>
          <w:szCs w:val="18"/>
        </w:rPr>
        <w:t xml:space="preserve">primi 4 anni (valutati per intero) </w:t>
      </w:r>
      <w:r>
        <w:rPr>
          <w:rFonts w:ascii="Arial" w:hAnsi="Arial" w:cs="Arial"/>
          <w:sz w:val="16"/>
          <w:szCs w:val="16"/>
        </w:rPr>
        <w:t xml:space="preserve"> </w:t>
      </w:r>
      <w:r>
        <w:rPr>
          <w:sz w:val="18"/>
          <w:szCs w:val="18"/>
        </w:rPr>
        <w:t xml:space="preserve">4 anni x 3 punti </w:t>
      </w:r>
      <w:r>
        <w:rPr>
          <w:w w:val="73"/>
          <w:sz w:val="25"/>
          <w:szCs w:val="25"/>
        </w:rPr>
        <w:t xml:space="preserve">= </w:t>
      </w:r>
      <w:r>
        <w:rPr>
          <w:sz w:val="18"/>
          <w:szCs w:val="18"/>
        </w:rPr>
        <w:t xml:space="preserve">12 punti </w:t>
      </w:r>
    </w:p>
    <w:p w:rsidR="00CB5C7D" w:rsidRDefault="00CB5C7D" w:rsidP="00CB5C7D">
      <w:pPr>
        <w:pStyle w:val="Stile"/>
        <w:spacing w:line="235" w:lineRule="exact"/>
        <w:ind w:right="4"/>
        <w:jc w:val="both"/>
        <w:rPr>
          <w:sz w:val="18"/>
          <w:szCs w:val="18"/>
        </w:rPr>
      </w:pPr>
      <w:r>
        <w:rPr>
          <w:sz w:val="18"/>
          <w:szCs w:val="18"/>
        </w:rPr>
        <w:t xml:space="preserve">rimanenti 2 anni (valutati due terzi) </w:t>
      </w:r>
      <w:r>
        <w:rPr>
          <w:rFonts w:ascii="Arial" w:hAnsi="Arial" w:cs="Arial"/>
          <w:sz w:val="16"/>
          <w:szCs w:val="16"/>
        </w:rPr>
        <w:t xml:space="preserve"> </w:t>
      </w:r>
      <w:r>
        <w:rPr>
          <w:sz w:val="18"/>
          <w:szCs w:val="18"/>
        </w:rPr>
        <w:t xml:space="preserve">2/3 x 2 anni x 3 punti </w:t>
      </w:r>
      <w:r>
        <w:rPr>
          <w:w w:val="73"/>
          <w:sz w:val="25"/>
          <w:szCs w:val="25"/>
        </w:rPr>
        <w:t xml:space="preserve">= </w:t>
      </w:r>
      <w:r>
        <w:rPr>
          <w:sz w:val="18"/>
          <w:szCs w:val="18"/>
        </w:rPr>
        <w:t xml:space="preserve">4 punti </w:t>
      </w:r>
    </w:p>
    <w:p w:rsidR="00CB5C7D" w:rsidRDefault="00CB5C7D" w:rsidP="00CB5C7D">
      <w:pPr>
        <w:pStyle w:val="Stile"/>
        <w:spacing w:line="235" w:lineRule="exact"/>
        <w:ind w:right="4"/>
        <w:jc w:val="both"/>
        <w:rPr>
          <w:sz w:val="18"/>
          <w:szCs w:val="18"/>
        </w:rPr>
      </w:pPr>
      <w:r>
        <w:rPr>
          <w:sz w:val="18"/>
          <w:szCs w:val="18"/>
        </w:rPr>
        <w:t xml:space="preserve">totale: 12 punti </w:t>
      </w:r>
      <w:r>
        <w:rPr>
          <w:rFonts w:ascii="Arial" w:hAnsi="Arial" w:cs="Arial"/>
          <w:sz w:val="20"/>
          <w:szCs w:val="20"/>
        </w:rPr>
        <w:t xml:space="preserve">+ </w:t>
      </w:r>
      <w:r>
        <w:rPr>
          <w:sz w:val="18"/>
          <w:szCs w:val="18"/>
        </w:rPr>
        <w:t>4 punti =</w:t>
      </w:r>
      <w:r>
        <w:rPr>
          <w:rFonts w:ascii="Arial" w:hAnsi="Arial" w:cs="Arial"/>
          <w:sz w:val="16"/>
          <w:szCs w:val="16"/>
        </w:rPr>
        <w:t xml:space="preserve"> </w:t>
      </w:r>
      <w:r>
        <w:rPr>
          <w:sz w:val="18"/>
          <w:szCs w:val="18"/>
        </w:rPr>
        <w:t xml:space="preserve">16 punti. </w:t>
      </w:r>
    </w:p>
    <w:p w:rsidR="00CB5C7D" w:rsidRDefault="00CB5C7D" w:rsidP="00CB5C7D">
      <w:pPr>
        <w:pStyle w:val="Stile"/>
        <w:spacing w:line="235" w:lineRule="exact"/>
        <w:ind w:right="4"/>
        <w:jc w:val="both"/>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B5C7D" w:rsidRDefault="00CB5C7D" w:rsidP="00CB5C7D">
      <w:pPr>
        <w:pStyle w:val="Stile"/>
        <w:spacing w:line="235" w:lineRule="exact"/>
        <w:ind w:right="4"/>
        <w:jc w:val="both"/>
        <w:rPr>
          <w:sz w:val="18"/>
          <w:szCs w:val="18"/>
        </w:rPr>
      </w:pPr>
      <w:r>
        <w:rPr>
          <w:sz w:val="18"/>
          <w:szCs w:val="18"/>
        </w:rPr>
        <w:t xml:space="preserve">Il servizio di ruolo o non di ruolo effettivamente prestato in scuole o istituti situati nelle piccole isole </w:t>
      </w:r>
      <w:r>
        <w:rPr>
          <w:w w:val="111"/>
          <w:sz w:val="18"/>
          <w:szCs w:val="18"/>
        </w:rPr>
        <w:t xml:space="preserve">è </w:t>
      </w:r>
      <w:r>
        <w:rPr>
          <w:sz w:val="18"/>
          <w:szCs w:val="18"/>
        </w:rPr>
        <w:t xml:space="preserve">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CB5C7D" w:rsidRDefault="00CB5C7D" w:rsidP="00CB5C7D">
      <w:pPr>
        <w:pStyle w:val="Stile"/>
        <w:spacing w:line="220" w:lineRule="exact"/>
        <w:ind w:right="86"/>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 anzianità di servizio a tutti gli effetti. </w:t>
      </w:r>
    </w:p>
    <w:p w:rsidR="00CB5C7D" w:rsidRDefault="00CB5C7D" w:rsidP="00CB5C7D">
      <w:pPr>
        <w:pStyle w:val="Stile"/>
        <w:spacing w:line="220" w:lineRule="exact"/>
        <w:ind w:right="86"/>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w:t>
      </w:r>
      <w:r>
        <w:rPr>
          <w:w w:val="111"/>
          <w:sz w:val="18"/>
          <w:szCs w:val="18"/>
        </w:rPr>
        <w:t xml:space="preserve">è </w:t>
      </w:r>
      <w:r>
        <w:rPr>
          <w:sz w:val="18"/>
          <w:szCs w:val="18"/>
        </w:rPr>
        <w:t xml:space="preserve">riconosciuto il periodo di durata del corso o della borsa di studio come effettivo servizio di ruolo e quindi valutato ai fini del trasferimento a domanda o </w:t>
      </w:r>
      <w:r>
        <w:rPr>
          <w:sz w:val="18"/>
          <w:szCs w:val="18"/>
        </w:rPr>
        <w:lastRenderedPageBreak/>
        <w:t xml:space="preserve">d'ufficio ai sensi della lettera A), se si </w:t>
      </w:r>
      <w:r>
        <w:rPr>
          <w:w w:val="111"/>
          <w:sz w:val="18"/>
          <w:szCs w:val="18"/>
        </w:rPr>
        <w:t xml:space="preserve">è </w:t>
      </w:r>
      <w:r>
        <w:rPr>
          <w:sz w:val="18"/>
          <w:szCs w:val="18"/>
        </w:rPr>
        <w:t xml:space="preserve">in servizio nello stesso ruolo, mentre </w:t>
      </w:r>
      <w:r>
        <w:rPr>
          <w:w w:val="111"/>
          <w:sz w:val="18"/>
          <w:szCs w:val="18"/>
        </w:rPr>
        <w:t xml:space="preserve">è </w:t>
      </w:r>
      <w:r>
        <w:rPr>
          <w:sz w:val="18"/>
          <w:szCs w:val="18"/>
        </w:rPr>
        <w:t xml:space="preserve">valutato ai sensi della lettera B) nella parte relativa al servizio in altro ruolo, del titolo I delle tabelle di valutazione. Tale riconoscimento avviene tenuto conto della circostanza che il periodo di questo tipo di congedo straordinario </w:t>
      </w:r>
      <w:r>
        <w:rPr>
          <w:w w:val="111"/>
          <w:sz w:val="18"/>
          <w:szCs w:val="18"/>
        </w:rPr>
        <w:t xml:space="preserve">è </w:t>
      </w:r>
      <w:r>
        <w:rPr>
          <w:sz w:val="18"/>
          <w:szCs w:val="18"/>
        </w:rPr>
        <w:t xml:space="preserve">utile ai fini della progressione di carriera, del trattamento di quiescenza e di previdenza. Detto periodo non va valutato ai fini dell'attribuzione del punteggio concernente la continuità del servizio nella stessa scuola. </w:t>
      </w:r>
    </w:p>
    <w:p w:rsidR="00CB5C7D" w:rsidRDefault="00CB5C7D" w:rsidP="00CB5C7D">
      <w:pPr>
        <w:pStyle w:val="Stile"/>
        <w:spacing w:line="230" w:lineRule="exact"/>
        <w:ind w:left="4" w:right="4"/>
        <w:jc w:val="both"/>
        <w:rPr>
          <w:sz w:val="18"/>
          <w:szCs w:val="18"/>
        </w:rPr>
      </w:pPr>
      <w:r>
        <w:rPr>
          <w:sz w:val="18"/>
          <w:szCs w:val="18"/>
        </w:rPr>
        <w:t xml:space="preserve">Il servizio prestato nelle scuole paritarie non </w:t>
      </w:r>
      <w:r>
        <w:rPr>
          <w:w w:val="111"/>
          <w:sz w:val="18"/>
          <w:szCs w:val="18"/>
        </w:rPr>
        <w:t xml:space="preserve">è </w:t>
      </w:r>
      <w:r>
        <w:rPr>
          <w:sz w:val="18"/>
          <w:szCs w:val="18"/>
        </w:rPr>
        <w:t xml:space="preserve">valutabile in quanto non riconoscibile ai fini della ricostruzione di carriera. </w:t>
      </w:r>
    </w:p>
    <w:p w:rsidR="00CB5C7D" w:rsidRDefault="00CB5C7D" w:rsidP="00CB5C7D">
      <w:pPr>
        <w:pStyle w:val="Stile"/>
        <w:spacing w:line="230" w:lineRule="exact"/>
        <w:ind w:left="4" w:right="4"/>
        <w:jc w:val="both"/>
        <w:rPr>
          <w:sz w:val="18"/>
          <w:szCs w:val="18"/>
        </w:rPr>
      </w:pPr>
      <w:r>
        <w:rPr>
          <w:sz w:val="18"/>
          <w:szCs w:val="18"/>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 </w:t>
      </w:r>
    </w:p>
    <w:p w:rsidR="00CB5C7D" w:rsidRPr="0079731D" w:rsidRDefault="00CB5C7D" w:rsidP="00CB5C7D">
      <w:pPr>
        <w:pStyle w:val="Stile"/>
        <w:spacing w:line="230" w:lineRule="exact"/>
        <w:ind w:left="4" w:right="4"/>
        <w:jc w:val="both"/>
        <w:rPr>
          <w:b/>
          <w:sz w:val="18"/>
          <w:szCs w:val="18"/>
        </w:rPr>
      </w:pPr>
      <w:r w:rsidRPr="00EA2719">
        <w:rPr>
          <w:b/>
          <w:sz w:val="22"/>
          <w:szCs w:val="22"/>
        </w:rPr>
        <w:t>Il servizio di ruolo e non di ruolo effettuato su sostegno, con il prescritto titolo di specializzazione, è valutato in misura doppia</w:t>
      </w:r>
      <w:r w:rsidRPr="0079731D">
        <w:rPr>
          <w:b/>
          <w:sz w:val="18"/>
          <w:szCs w:val="18"/>
        </w:rPr>
        <w:t>.</w:t>
      </w:r>
    </w:p>
    <w:p w:rsidR="00E177BB" w:rsidRDefault="00E177BB" w:rsidP="00CB5C7D">
      <w:pPr>
        <w:jc w:val="both"/>
      </w:pPr>
      <w:bookmarkStart w:id="0" w:name="_GoBack"/>
      <w:bookmarkEnd w:id="0"/>
    </w:p>
    <w:sectPr w:rsidR="00E177BB" w:rsidSect="00E87673">
      <w:footerReference w:type="default" r:id="rId7"/>
      <w:pgSz w:w="11906" w:h="16838"/>
      <w:pgMar w:top="567" w:right="1134" w:bottom="426"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9D" w:rsidRDefault="00193C9D" w:rsidP="00CB5C7D">
      <w:r>
        <w:separator/>
      </w:r>
    </w:p>
  </w:endnote>
  <w:endnote w:type="continuationSeparator" w:id="0">
    <w:p w:rsidR="00193C9D" w:rsidRDefault="00193C9D" w:rsidP="00CB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EA2719" w:rsidTr="00EA2719">
      <w:tc>
        <w:tcPr>
          <w:tcW w:w="4500" w:type="pct"/>
          <w:tcBorders>
            <w:top w:val="single" w:sz="4" w:space="0" w:color="000000"/>
          </w:tcBorders>
        </w:tcPr>
        <w:p w:rsidR="00EA2719" w:rsidRDefault="00193C9D" w:rsidP="00EA2719">
          <w:pPr>
            <w:pStyle w:val="Pidipagina"/>
            <w:jc w:val="right"/>
          </w:pPr>
        </w:p>
      </w:tc>
      <w:tc>
        <w:tcPr>
          <w:tcW w:w="500" w:type="pct"/>
          <w:tcBorders>
            <w:top w:val="single" w:sz="4" w:space="0" w:color="C0504D"/>
          </w:tcBorders>
          <w:shd w:val="clear" w:color="auto" w:fill="943634"/>
        </w:tcPr>
        <w:p w:rsidR="00EA2719" w:rsidRPr="00EA2719" w:rsidRDefault="00193C9D">
          <w:pPr>
            <w:pStyle w:val="Intestazione"/>
            <w:rPr>
              <w:color w:val="FFFFFF"/>
            </w:rPr>
          </w:pPr>
          <w:r>
            <w:fldChar w:fldCharType="begin"/>
          </w:r>
          <w:r>
            <w:instrText>PAGE   \* MERGEFORMAT</w:instrText>
          </w:r>
          <w:r>
            <w:fldChar w:fldCharType="separate"/>
          </w:r>
          <w:r w:rsidR="00CB5C7D" w:rsidRPr="00CB5C7D">
            <w:rPr>
              <w:noProof/>
              <w:color w:val="FFFFFF"/>
            </w:rPr>
            <w:t>2</w:t>
          </w:r>
          <w:r w:rsidRPr="00EA2719">
            <w:rPr>
              <w:color w:val="FFFFFF"/>
            </w:rPr>
            <w:fldChar w:fldCharType="end"/>
          </w:r>
        </w:p>
      </w:tc>
    </w:tr>
  </w:tbl>
  <w:p w:rsidR="00EA2719" w:rsidRPr="00EA2719" w:rsidRDefault="00193C9D" w:rsidP="00EA2719">
    <w:pPr>
      <w:overflowPunct/>
      <w:textAlignment w:val="auto"/>
      <w:rPr>
        <w:rFonts w:ascii="Book Antiqua" w:hAnsi="Book Antiqua"/>
        <w:b/>
        <w:color w:val="000000"/>
        <w:sz w:val="24"/>
        <w:szCs w:val="24"/>
      </w:rPr>
    </w:pPr>
  </w:p>
  <w:p w:rsidR="00EA2719" w:rsidRDefault="00193C9D" w:rsidP="00EA2719">
    <w:pPr>
      <w:pStyle w:val="NormaleWeb"/>
      <w:spacing w:before="0" w:beforeAutospacing="0" w:after="0" w:afterAutospacing="0"/>
      <w:jc w:val="both"/>
      <w:rPr>
        <w:rFonts w:ascii="Book Antiqua" w:hAnsi="Book Antiqua"/>
        <w:b/>
      </w:rPr>
    </w:pPr>
    <w:r>
      <w:rPr>
        <w:b/>
      </w:rPr>
      <w:t xml:space="preserve"> </w:t>
    </w:r>
  </w:p>
  <w:p w:rsidR="00EA2719" w:rsidRDefault="00193C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9D" w:rsidRDefault="00193C9D" w:rsidP="00CB5C7D">
      <w:r>
        <w:separator/>
      </w:r>
    </w:p>
  </w:footnote>
  <w:footnote w:type="continuationSeparator" w:id="0">
    <w:p w:rsidR="00193C9D" w:rsidRDefault="00193C9D" w:rsidP="00CB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161DD9A-2F5E-40A6-A468-6F7490056399}"/>
    <w:docVar w:name="dgnword-eventsink" w:val="74918520"/>
  </w:docVars>
  <w:rsids>
    <w:rsidRoot w:val="00CB5C7D"/>
    <w:rsid w:val="00193C9D"/>
    <w:rsid w:val="00CB5C7D"/>
    <w:rsid w:val="00E17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C7D"/>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CB5C7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CB5C7D"/>
    <w:pPr>
      <w:tabs>
        <w:tab w:val="center" w:pos="4819"/>
        <w:tab w:val="right" w:pos="9638"/>
      </w:tabs>
    </w:pPr>
  </w:style>
  <w:style w:type="character" w:customStyle="1" w:styleId="IntestazioneCarattere">
    <w:name w:val="Intestazione Carattere"/>
    <w:basedOn w:val="Carpredefinitoparagrafo"/>
    <w:link w:val="Intestazione"/>
    <w:uiPriority w:val="99"/>
    <w:rsid w:val="00CB5C7D"/>
    <w:rPr>
      <w:rFonts w:ascii="Times New Roman" w:eastAsia="Times New Roman" w:hAnsi="Times New Roman" w:cs="Times New Roman"/>
      <w:sz w:val="18"/>
      <w:szCs w:val="20"/>
      <w:lang w:eastAsia="it-IT"/>
    </w:rPr>
  </w:style>
  <w:style w:type="paragraph" w:styleId="Pidipagina">
    <w:name w:val="footer"/>
    <w:basedOn w:val="Normale"/>
    <w:link w:val="PidipaginaCarattere"/>
    <w:uiPriority w:val="99"/>
    <w:rsid w:val="00CB5C7D"/>
    <w:pPr>
      <w:tabs>
        <w:tab w:val="center" w:pos="4819"/>
        <w:tab w:val="right" w:pos="9638"/>
      </w:tabs>
    </w:pPr>
  </w:style>
  <w:style w:type="character" w:customStyle="1" w:styleId="PidipaginaCarattere">
    <w:name w:val="Piè di pagina Carattere"/>
    <w:basedOn w:val="Carpredefinitoparagrafo"/>
    <w:link w:val="Pidipagina"/>
    <w:uiPriority w:val="99"/>
    <w:rsid w:val="00CB5C7D"/>
    <w:rPr>
      <w:rFonts w:ascii="Times New Roman" w:eastAsia="Times New Roman" w:hAnsi="Times New Roman" w:cs="Times New Roman"/>
      <w:sz w:val="18"/>
      <w:szCs w:val="20"/>
      <w:lang w:eastAsia="it-IT"/>
    </w:rPr>
  </w:style>
  <w:style w:type="paragraph" w:styleId="NormaleWeb">
    <w:name w:val="Normal (Web)"/>
    <w:basedOn w:val="Normale"/>
    <w:uiPriority w:val="99"/>
    <w:rsid w:val="00CB5C7D"/>
    <w:pPr>
      <w:overflowPunct/>
      <w:autoSpaceDE/>
      <w:autoSpaceDN/>
      <w:adjustRightInd/>
      <w:spacing w:before="100" w:beforeAutospacing="1" w:after="100" w:afterAutospacing="1"/>
      <w:textAlignment w:val="auto"/>
    </w:pPr>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C7D"/>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CB5C7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CB5C7D"/>
    <w:pPr>
      <w:tabs>
        <w:tab w:val="center" w:pos="4819"/>
        <w:tab w:val="right" w:pos="9638"/>
      </w:tabs>
    </w:pPr>
  </w:style>
  <w:style w:type="character" w:customStyle="1" w:styleId="IntestazioneCarattere">
    <w:name w:val="Intestazione Carattere"/>
    <w:basedOn w:val="Carpredefinitoparagrafo"/>
    <w:link w:val="Intestazione"/>
    <w:uiPriority w:val="99"/>
    <w:rsid w:val="00CB5C7D"/>
    <w:rPr>
      <w:rFonts w:ascii="Times New Roman" w:eastAsia="Times New Roman" w:hAnsi="Times New Roman" w:cs="Times New Roman"/>
      <w:sz w:val="18"/>
      <w:szCs w:val="20"/>
      <w:lang w:eastAsia="it-IT"/>
    </w:rPr>
  </w:style>
  <w:style w:type="paragraph" w:styleId="Pidipagina">
    <w:name w:val="footer"/>
    <w:basedOn w:val="Normale"/>
    <w:link w:val="PidipaginaCarattere"/>
    <w:uiPriority w:val="99"/>
    <w:rsid w:val="00CB5C7D"/>
    <w:pPr>
      <w:tabs>
        <w:tab w:val="center" w:pos="4819"/>
        <w:tab w:val="right" w:pos="9638"/>
      </w:tabs>
    </w:pPr>
  </w:style>
  <w:style w:type="character" w:customStyle="1" w:styleId="PidipaginaCarattere">
    <w:name w:val="Piè di pagina Carattere"/>
    <w:basedOn w:val="Carpredefinitoparagrafo"/>
    <w:link w:val="Pidipagina"/>
    <w:uiPriority w:val="99"/>
    <w:rsid w:val="00CB5C7D"/>
    <w:rPr>
      <w:rFonts w:ascii="Times New Roman" w:eastAsia="Times New Roman" w:hAnsi="Times New Roman" w:cs="Times New Roman"/>
      <w:sz w:val="18"/>
      <w:szCs w:val="20"/>
      <w:lang w:eastAsia="it-IT"/>
    </w:rPr>
  </w:style>
  <w:style w:type="paragraph" w:styleId="NormaleWeb">
    <w:name w:val="Normal (Web)"/>
    <w:basedOn w:val="Normale"/>
    <w:uiPriority w:val="99"/>
    <w:rsid w:val="00CB5C7D"/>
    <w:pPr>
      <w:overflowPunct/>
      <w:autoSpaceDE/>
      <w:autoSpaceDN/>
      <w:adjustRightInd/>
      <w:spacing w:before="100" w:beforeAutospacing="1" w:after="100" w:afterAutospacing="1"/>
      <w:textAlignment w:val="auto"/>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2016-03-25T16:40:00Z</dcterms:created>
  <dcterms:modified xsi:type="dcterms:W3CDTF">2016-03-25T16:43:00Z</dcterms:modified>
</cp:coreProperties>
</file>